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1FC8" w14:textId="77777777" w:rsidR="00BD38BD" w:rsidRDefault="001C45C9" w:rsidP="001C45C9">
      <w:pPr>
        <w:spacing w:after="0" w:line="240" w:lineRule="auto"/>
        <w:ind w:left="-142" w:hanging="425"/>
        <w:jc w:val="center"/>
        <w:rPr>
          <w:rFonts w:eastAsia="Calibri"/>
          <w:bCs/>
          <w:color w:val="C00000"/>
          <w:sz w:val="18"/>
          <w:szCs w:val="18"/>
        </w:rPr>
      </w:pPr>
      <w:r w:rsidRPr="00CD0324">
        <w:rPr>
          <w:rFonts w:eastAsia="Calibri"/>
          <w:bCs/>
          <w:color w:val="C00000"/>
          <w:sz w:val="18"/>
          <w:szCs w:val="18"/>
        </w:rPr>
        <w:t xml:space="preserve">          </w:t>
      </w:r>
    </w:p>
    <w:p w14:paraId="1B084BA2" w14:textId="4D864C1A" w:rsidR="001A5FBD" w:rsidRPr="00A505D6" w:rsidRDefault="007A6BE1" w:rsidP="001C45C9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A505D6">
        <w:rPr>
          <w:rFonts w:cstheme="minorHAnsi"/>
          <w:b/>
          <w:bCs/>
          <w:sz w:val="24"/>
          <w:szCs w:val="24"/>
        </w:rPr>
        <w:t>ATO NORMATIVO CONJUNTO XXX/</w:t>
      </w:r>
      <w:r w:rsidR="0088240D" w:rsidRPr="00A505D6">
        <w:rPr>
          <w:rFonts w:cstheme="minorHAnsi"/>
          <w:b/>
          <w:bCs/>
          <w:sz w:val="24"/>
          <w:szCs w:val="24"/>
        </w:rPr>
        <w:t>XXXX</w:t>
      </w:r>
    </w:p>
    <w:p w14:paraId="174EA63E" w14:textId="77777777" w:rsidR="00D95011" w:rsidRPr="00A505D6" w:rsidRDefault="00D95011" w:rsidP="00351079">
      <w:pPr>
        <w:spacing w:line="360" w:lineRule="auto"/>
        <w:ind w:left="3540"/>
        <w:jc w:val="both"/>
        <w:rPr>
          <w:rFonts w:cstheme="minorHAnsi"/>
          <w:sz w:val="24"/>
          <w:szCs w:val="24"/>
        </w:rPr>
      </w:pPr>
    </w:p>
    <w:p w14:paraId="0DA99460" w14:textId="00E2C93C" w:rsidR="00DA697A" w:rsidRPr="00A505D6" w:rsidRDefault="001A5FBD" w:rsidP="00351079">
      <w:pPr>
        <w:spacing w:line="360" w:lineRule="auto"/>
        <w:ind w:left="3540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>C</w:t>
      </w:r>
      <w:r w:rsidR="00DA697A" w:rsidRPr="00A505D6">
        <w:rPr>
          <w:rFonts w:cstheme="minorHAnsi"/>
          <w:sz w:val="24"/>
          <w:szCs w:val="24"/>
        </w:rPr>
        <w:t xml:space="preserve">ria e estabelece o Regulamento para o Prêmio Selo de Boas Práticas do Poder Judiciário do Estado do Rio de Janeiro. </w:t>
      </w:r>
    </w:p>
    <w:p w14:paraId="6C90DEBB" w14:textId="77777777" w:rsidR="00D95011" w:rsidRPr="00A505D6" w:rsidRDefault="00D95011" w:rsidP="00351079">
      <w:pPr>
        <w:spacing w:line="360" w:lineRule="auto"/>
        <w:ind w:left="3540"/>
        <w:jc w:val="both"/>
        <w:rPr>
          <w:rFonts w:cstheme="minorHAnsi"/>
          <w:sz w:val="24"/>
          <w:szCs w:val="24"/>
        </w:rPr>
      </w:pPr>
    </w:p>
    <w:p w14:paraId="51EC1CE0" w14:textId="4F87BF03" w:rsidR="00DA697A" w:rsidRPr="00A505D6" w:rsidRDefault="00DA697A" w:rsidP="007F51B0">
      <w:pPr>
        <w:spacing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 xml:space="preserve">O </w:t>
      </w:r>
      <w:r w:rsidRPr="00A505D6">
        <w:rPr>
          <w:rFonts w:cstheme="minorHAnsi"/>
          <w:b/>
          <w:sz w:val="24"/>
          <w:szCs w:val="24"/>
        </w:rPr>
        <w:t>PRESIDENTE DO TRIBUNAL DE JUSTIÇA DO ESTADO DO RIO DE JANEIRO</w:t>
      </w:r>
      <w:r w:rsidRPr="00A505D6">
        <w:rPr>
          <w:rFonts w:cstheme="minorHAnsi"/>
          <w:sz w:val="24"/>
          <w:szCs w:val="24"/>
        </w:rPr>
        <w:t xml:space="preserve">, Desembargador </w:t>
      </w:r>
      <w:r w:rsidR="0088240D" w:rsidRPr="00A505D6">
        <w:rPr>
          <w:rFonts w:cstheme="minorHAnsi"/>
          <w:sz w:val="24"/>
          <w:szCs w:val="24"/>
          <w:shd w:val="clear" w:color="auto" w:fill="FFFFFF"/>
        </w:rPr>
        <w:t>NOME DO PRESIDENTE</w:t>
      </w:r>
      <w:r w:rsidR="0088240D" w:rsidRPr="00A505D6">
        <w:rPr>
          <w:rFonts w:cstheme="minorHAnsi"/>
          <w:sz w:val="24"/>
          <w:szCs w:val="24"/>
        </w:rPr>
        <w:t xml:space="preserve"> </w:t>
      </w:r>
      <w:r w:rsidRPr="00A505D6">
        <w:rPr>
          <w:rFonts w:cstheme="minorHAnsi"/>
          <w:sz w:val="24"/>
          <w:szCs w:val="24"/>
        </w:rPr>
        <w:t>e o C</w:t>
      </w:r>
      <w:r w:rsidRPr="00A505D6">
        <w:rPr>
          <w:rFonts w:cstheme="minorHAnsi"/>
          <w:b/>
          <w:sz w:val="24"/>
          <w:szCs w:val="24"/>
        </w:rPr>
        <w:t>ORREGEDOR GERAL DA JUSTIÇA DO ESTADO DO RIO DE JANEIRO</w:t>
      </w:r>
      <w:r w:rsidRPr="00A505D6">
        <w:rPr>
          <w:rFonts w:cstheme="minorHAnsi"/>
          <w:sz w:val="24"/>
          <w:szCs w:val="24"/>
        </w:rPr>
        <w:t xml:space="preserve">, </w:t>
      </w:r>
      <w:r w:rsidR="0088240D" w:rsidRPr="00A505D6">
        <w:rPr>
          <w:rFonts w:cstheme="minorHAnsi"/>
          <w:sz w:val="24"/>
          <w:szCs w:val="24"/>
          <w:shd w:val="clear" w:color="auto" w:fill="FFFFFF"/>
        </w:rPr>
        <w:t>NOME DO CORREGEDOR</w:t>
      </w:r>
      <w:r w:rsidRPr="00A505D6">
        <w:rPr>
          <w:rFonts w:cstheme="minorHAnsi"/>
          <w:sz w:val="24"/>
          <w:szCs w:val="24"/>
        </w:rPr>
        <w:t xml:space="preserve">, no uso de suas atribuições legais; </w:t>
      </w:r>
    </w:p>
    <w:p w14:paraId="666344D5" w14:textId="77777777" w:rsidR="00DA697A" w:rsidRPr="00A505D6" w:rsidRDefault="00DA697A" w:rsidP="007F51B0">
      <w:pPr>
        <w:spacing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b/>
          <w:sz w:val="24"/>
          <w:szCs w:val="24"/>
        </w:rPr>
        <w:t>CONSIDERANDO</w:t>
      </w:r>
      <w:r w:rsidRPr="00A505D6">
        <w:rPr>
          <w:rFonts w:cstheme="minorHAnsi"/>
          <w:sz w:val="24"/>
          <w:szCs w:val="24"/>
        </w:rPr>
        <w:t xml:space="preserve"> a necessidade de estimular as unidades judiciais, administrativas e executoras de mandados vinculadas ao Poder Judiciário do Estado do Rio de Janeiro, na busca pela melhoria contínua de seus processos de trabalho, inclusive, através da sistematização e da disseminação de boas práticas capazes de aumentar a eficiência operacional e a eficácia da unidade; </w:t>
      </w:r>
    </w:p>
    <w:p w14:paraId="099E40CD" w14:textId="77777777" w:rsidR="00DA697A" w:rsidRPr="00A505D6" w:rsidRDefault="00DA697A" w:rsidP="007F51B0">
      <w:pPr>
        <w:spacing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b/>
          <w:sz w:val="24"/>
          <w:szCs w:val="24"/>
        </w:rPr>
        <w:t>CONSIDERANDO</w:t>
      </w:r>
      <w:r w:rsidRPr="00A505D6">
        <w:rPr>
          <w:rFonts w:cstheme="minorHAnsi"/>
          <w:sz w:val="24"/>
          <w:szCs w:val="24"/>
        </w:rPr>
        <w:t xml:space="preserve"> a importância de reconhecer as unidades pela qualidade da gestão administrativa e judiciária; </w:t>
      </w:r>
    </w:p>
    <w:p w14:paraId="113C19B7" w14:textId="2FE17CEA" w:rsidR="00DA697A" w:rsidRPr="00A505D6" w:rsidRDefault="00DA697A" w:rsidP="007F51B0">
      <w:pPr>
        <w:spacing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b/>
          <w:sz w:val="24"/>
          <w:szCs w:val="24"/>
        </w:rPr>
        <w:t>CONSIDERANDO</w:t>
      </w:r>
      <w:r w:rsidRPr="00A505D6">
        <w:rPr>
          <w:rFonts w:cstheme="minorHAnsi"/>
          <w:sz w:val="24"/>
          <w:szCs w:val="24"/>
        </w:rPr>
        <w:t xml:space="preserve"> o êxito do Prêmio Selo de Boas Práticas da Corregedoria Geral da Justiça do Estado do Rio de Janeiro realizado</w:t>
      </w:r>
      <w:r w:rsidR="0088240D" w:rsidRPr="00A505D6">
        <w:rPr>
          <w:rFonts w:cstheme="minorHAnsi"/>
          <w:sz w:val="24"/>
          <w:szCs w:val="24"/>
        </w:rPr>
        <w:t xml:space="preserve"> em</w:t>
      </w:r>
      <w:r w:rsidRPr="00A505D6">
        <w:rPr>
          <w:rFonts w:cstheme="minorHAnsi"/>
          <w:sz w:val="24"/>
          <w:szCs w:val="24"/>
        </w:rPr>
        <w:t xml:space="preserve"> </w:t>
      </w:r>
      <w:r w:rsidR="0088240D" w:rsidRPr="00A505D6">
        <w:rPr>
          <w:rFonts w:cstheme="minorHAnsi"/>
          <w:sz w:val="24"/>
          <w:szCs w:val="24"/>
        </w:rPr>
        <w:t>XX</w:t>
      </w:r>
      <w:r w:rsidR="00991909" w:rsidRPr="00A505D6">
        <w:rPr>
          <w:rFonts w:cstheme="minorHAnsi"/>
          <w:sz w:val="24"/>
          <w:szCs w:val="24"/>
        </w:rPr>
        <w:t>/</w:t>
      </w:r>
      <w:r w:rsidR="0088240D" w:rsidRPr="00A505D6">
        <w:rPr>
          <w:rFonts w:cstheme="minorHAnsi"/>
          <w:sz w:val="24"/>
          <w:szCs w:val="24"/>
        </w:rPr>
        <w:t>XXXX</w:t>
      </w:r>
      <w:r w:rsidRPr="00A505D6">
        <w:rPr>
          <w:rFonts w:cstheme="minorHAnsi"/>
          <w:sz w:val="24"/>
          <w:szCs w:val="24"/>
        </w:rPr>
        <w:t xml:space="preserve">; </w:t>
      </w:r>
    </w:p>
    <w:p w14:paraId="7D33F374" w14:textId="0CBDABC4" w:rsidR="00DA697A" w:rsidRPr="00A505D6" w:rsidRDefault="00DA697A" w:rsidP="00D95011">
      <w:pPr>
        <w:spacing w:before="360"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 xml:space="preserve">RESOLVEM: </w:t>
      </w:r>
    </w:p>
    <w:p w14:paraId="6D1CC3EC" w14:textId="08406011" w:rsidR="00DA697A" w:rsidRPr="00A505D6" w:rsidRDefault="00DA697A" w:rsidP="007F51B0">
      <w:pPr>
        <w:spacing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 xml:space="preserve">CAPÍTULO I </w:t>
      </w:r>
    </w:p>
    <w:p w14:paraId="0C92DEBB" w14:textId="77777777" w:rsidR="00DA697A" w:rsidRPr="00A505D6" w:rsidRDefault="00DA697A" w:rsidP="007F51B0">
      <w:pPr>
        <w:spacing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 xml:space="preserve">DO SELO DE BOAS PRÁTICAS </w:t>
      </w:r>
    </w:p>
    <w:p w14:paraId="73F8AC4A" w14:textId="77777777" w:rsidR="00DA697A" w:rsidRPr="00A505D6" w:rsidRDefault="00DA697A" w:rsidP="007F51B0">
      <w:pPr>
        <w:spacing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 xml:space="preserve">Art. 1º. Fica criado o Prêmio Selo de Boas Práticas, como forma de reconhecimento das iniciativas que as unidades adotarem, com êxito, com a divulgação das práticas através do Banco de Boas Práticas do Tribunal de Justiça do Estado do Rio de Janeiro e do Banco de Boas Práticas da Corregedoria Geral da Justiça do Estado do Rio de Janeiro, cabendo sua certificação pelo Selo de Boas Práticas a ser concedido em conformidade com o regulamento estabelecido por este Ato Normativo Conjunto. </w:t>
      </w:r>
    </w:p>
    <w:p w14:paraId="5C0B929C" w14:textId="77777777" w:rsidR="00A505D6" w:rsidRDefault="00DA697A" w:rsidP="007F51B0">
      <w:pPr>
        <w:spacing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>Art. 2º. O Selo de Boas Práticas tem os seguintes objetivos:</w:t>
      </w:r>
    </w:p>
    <w:p w14:paraId="062F4561" w14:textId="4CC4C8B1" w:rsidR="00A505D6" w:rsidRDefault="00DA697A" w:rsidP="007F51B0">
      <w:pPr>
        <w:spacing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lastRenderedPageBreak/>
        <w:t xml:space="preserve">I - </w:t>
      </w:r>
      <w:r w:rsidR="00A505D6" w:rsidRPr="00A505D6">
        <w:rPr>
          <w:rFonts w:cstheme="minorHAnsi"/>
          <w:sz w:val="24"/>
          <w:szCs w:val="24"/>
        </w:rPr>
        <w:t>Incentivar</w:t>
      </w:r>
      <w:r w:rsidRPr="00A505D6">
        <w:rPr>
          <w:rFonts w:cstheme="minorHAnsi"/>
          <w:sz w:val="24"/>
          <w:szCs w:val="24"/>
        </w:rPr>
        <w:t xml:space="preserve"> a produção e a disseminação de práticas que contribuam para a melhoria na eficiência de seu processo de trabalho;</w:t>
      </w:r>
    </w:p>
    <w:p w14:paraId="6D5DD8B8" w14:textId="37996EC4" w:rsidR="00A505D6" w:rsidRDefault="00DA697A" w:rsidP="007F51B0">
      <w:pPr>
        <w:spacing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 xml:space="preserve">II - </w:t>
      </w:r>
      <w:r w:rsidR="00A505D6">
        <w:rPr>
          <w:rFonts w:cstheme="minorHAnsi"/>
          <w:sz w:val="24"/>
          <w:szCs w:val="24"/>
        </w:rPr>
        <w:t>A</w:t>
      </w:r>
      <w:r w:rsidR="00A505D6" w:rsidRPr="00A505D6">
        <w:rPr>
          <w:rFonts w:cstheme="minorHAnsi"/>
          <w:sz w:val="24"/>
          <w:szCs w:val="24"/>
        </w:rPr>
        <w:t>primorar</w:t>
      </w:r>
      <w:r w:rsidRPr="00A505D6">
        <w:rPr>
          <w:rFonts w:cstheme="minorHAnsi"/>
          <w:sz w:val="24"/>
          <w:szCs w:val="24"/>
        </w:rPr>
        <w:t xml:space="preserve"> a comunicação e o intercâmbio de informações entre as unidades, e destas, com a Administração;</w:t>
      </w:r>
    </w:p>
    <w:p w14:paraId="5D10B066" w14:textId="3C7776F4" w:rsidR="00256351" w:rsidRPr="00A505D6" w:rsidRDefault="00DA697A" w:rsidP="007F51B0">
      <w:pPr>
        <w:spacing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 xml:space="preserve">III - </w:t>
      </w:r>
      <w:r w:rsidR="00A505D6">
        <w:rPr>
          <w:rFonts w:cstheme="minorHAnsi"/>
          <w:sz w:val="24"/>
          <w:szCs w:val="24"/>
        </w:rPr>
        <w:t>R</w:t>
      </w:r>
      <w:r w:rsidRPr="00A505D6">
        <w:rPr>
          <w:rFonts w:cstheme="minorHAnsi"/>
          <w:sz w:val="24"/>
          <w:szCs w:val="24"/>
        </w:rPr>
        <w:t>econhecer e premiar as iniciativas adotadas pelas unidades, que promovam o aprimoramento das suas rotinas, por meio de reprodução das práticas disseminadas através dos seus respectivos Bancos de Boas Práticas.</w:t>
      </w:r>
    </w:p>
    <w:p w14:paraId="2F54B718" w14:textId="77777777" w:rsidR="00256351" w:rsidRPr="00A505D6" w:rsidRDefault="00DA697A" w:rsidP="00D95011">
      <w:pPr>
        <w:spacing w:before="360"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 xml:space="preserve">CAPÍTULO II </w:t>
      </w:r>
    </w:p>
    <w:p w14:paraId="7B08F7B1" w14:textId="58D64653" w:rsidR="00DA697A" w:rsidRPr="00A505D6" w:rsidRDefault="00DA697A" w:rsidP="007F51B0">
      <w:pPr>
        <w:spacing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>DO SELO DE BOAS PRÁTICAS DAS UNIDADES ADMINISTRATIVAS</w:t>
      </w:r>
    </w:p>
    <w:p w14:paraId="2C832D5F" w14:textId="77777777" w:rsidR="00754ED6" w:rsidRPr="00A505D6" w:rsidRDefault="00DA697A" w:rsidP="007F51B0">
      <w:pPr>
        <w:spacing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 xml:space="preserve"> Art. 3 º. O Selo de Boas Práticas das Unidades Administrativas </w:t>
      </w:r>
      <w:bookmarkStart w:id="0" w:name="_Hlk188980408"/>
      <w:r w:rsidRPr="00A505D6">
        <w:rPr>
          <w:rFonts w:cstheme="minorHAnsi"/>
          <w:sz w:val="24"/>
          <w:szCs w:val="24"/>
        </w:rPr>
        <w:t>será entregue em reconhecimento à prática mais inovadora</w:t>
      </w:r>
      <w:bookmarkEnd w:id="0"/>
      <w:r w:rsidRPr="00A505D6">
        <w:rPr>
          <w:rFonts w:cstheme="minorHAnsi"/>
          <w:sz w:val="24"/>
          <w:szCs w:val="24"/>
        </w:rPr>
        <w:t xml:space="preserve">, sem possibilidade de recurso da escolha, a: </w:t>
      </w:r>
    </w:p>
    <w:p w14:paraId="78F41237" w14:textId="10FD80A7" w:rsidR="00754ED6" w:rsidRPr="00A505D6" w:rsidRDefault="00DA697A" w:rsidP="007F51B0">
      <w:pPr>
        <w:spacing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 xml:space="preserve">I - </w:t>
      </w:r>
      <w:r w:rsidR="00A505D6" w:rsidRPr="00A505D6">
        <w:rPr>
          <w:rFonts w:cstheme="minorHAnsi"/>
          <w:sz w:val="24"/>
          <w:szCs w:val="24"/>
        </w:rPr>
        <w:t>Unidade</w:t>
      </w:r>
      <w:r w:rsidRPr="00A505D6">
        <w:rPr>
          <w:rFonts w:cstheme="minorHAnsi"/>
          <w:sz w:val="24"/>
          <w:szCs w:val="24"/>
        </w:rPr>
        <w:t xml:space="preserve"> administrativa do Tribunal de Justiça do Estado do Rio de Janeiro, selecionada após análise e comprovação da prática pela </w:t>
      </w:r>
      <w:bookmarkStart w:id="1" w:name="_Hlk188980762"/>
      <w:r w:rsidRPr="00A505D6">
        <w:rPr>
          <w:rFonts w:cstheme="minorHAnsi"/>
          <w:sz w:val="24"/>
          <w:szCs w:val="24"/>
        </w:rPr>
        <w:t>Secretaria de Governança, Inovação e Compliance e pelo Juiz Auxiliar da Presidência responsável pela área de Inovação</w:t>
      </w:r>
      <w:bookmarkEnd w:id="1"/>
      <w:r w:rsidRPr="00A505D6">
        <w:rPr>
          <w:rFonts w:cstheme="minorHAnsi"/>
          <w:sz w:val="24"/>
          <w:szCs w:val="24"/>
        </w:rPr>
        <w:t xml:space="preserve">, tudo homologado por decisão do Presidente do Tribunal de Justiça do Estado do Rio de Janeiro; </w:t>
      </w:r>
    </w:p>
    <w:p w14:paraId="54DC4508" w14:textId="08D4FB8E" w:rsidR="00DA697A" w:rsidRPr="00A505D6" w:rsidRDefault="00DA697A" w:rsidP="007F51B0">
      <w:pPr>
        <w:spacing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 xml:space="preserve">II </w:t>
      </w:r>
      <w:r w:rsidR="00A505D6">
        <w:rPr>
          <w:rFonts w:cstheme="minorHAnsi"/>
          <w:sz w:val="24"/>
          <w:szCs w:val="24"/>
        </w:rPr>
        <w:t>- U</w:t>
      </w:r>
      <w:r w:rsidR="00A505D6" w:rsidRPr="00A505D6">
        <w:rPr>
          <w:rFonts w:cstheme="minorHAnsi"/>
          <w:sz w:val="24"/>
          <w:szCs w:val="24"/>
        </w:rPr>
        <w:t>nidade</w:t>
      </w:r>
      <w:r w:rsidRPr="00A505D6">
        <w:rPr>
          <w:rFonts w:cstheme="minorHAnsi"/>
          <w:sz w:val="24"/>
          <w:szCs w:val="24"/>
        </w:rPr>
        <w:t xml:space="preserve"> administrativa da Corregedoria Geral da Justiça do Estado do Rio de Janeiro, selecionada após análise e comprovação da prática pela Diretoria Geral de Planejamento e Administração de Pessoal e pelo Juiz Auxiliar da Corregedoria responsável pela área de pessoal, sendo tudo homologado por decisão do Corregedor Geral da justiça.</w:t>
      </w:r>
    </w:p>
    <w:p w14:paraId="054DCB73" w14:textId="31CD3D19" w:rsidR="00DA697A" w:rsidRPr="00A505D6" w:rsidRDefault="00DA697A" w:rsidP="00D95011">
      <w:pPr>
        <w:spacing w:before="360"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 xml:space="preserve">CAPÍTULO III </w:t>
      </w:r>
    </w:p>
    <w:p w14:paraId="72F3D5D6" w14:textId="77777777" w:rsidR="00DA697A" w:rsidRPr="00A505D6" w:rsidRDefault="00DA697A" w:rsidP="007F51B0">
      <w:pPr>
        <w:spacing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>DO SELO BOAS PRÁTICAS DAS UNIDADES JUDICIAIS</w:t>
      </w:r>
    </w:p>
    <w:p w14:paraId="5A4850FD" w14:textId="77777777" w:rsidR="00DA697A" w:rsidRPr="00A505D6" w:rsidRDefault="00DA697A" w:rsidP="007F51B0">
      <w:pPr>
        <w:spacing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 xml:space="preserve"> Seção I </w:t>
      </w:r>
    </w:p>
    <w:p w14:paraId="26DC1907" w14:textId="64B8E919" w:rsidR="00DA697A" w:rsidRPr="00A505D6" w:rsidRDefault="00DA697A" w:rsidP="007F51B0">
      <w:pPr>
        <w:spacing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 xml:space="preserve">Dispositivos Gerais </w:t>
      </w:r>
    </w:p>
    <w:p w14:paraId="59AA597F" w14:textId="022916B2" w:rsidR="00DA697A" w:rsidRPr="00A505D6" w:rsidRDefault="00DA697A" w:rsidP="007F51B0">
      <w:pPr>
        <w:spacing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 xml:space="preserve">Art. 4º. Serão contempladas com o Selo de Boas Práticas, as unidades cartorárias e executoras de mandado de 1ª instância, e outras unidades diversas que ingressarem no Banco de Boas Práticas, bem como as unidades judiciais da 2ª instância, que comprovarem, de forma inequívoca e </w:t>
      </w:r>
      <w:r w:rsidRPr="00A505D6">
        <w:rPr>
          <w:rFonts w:cstheme="minorHAnsi"/>
          <w:sz w:val="24"/>
          <w:szCs w:val="24"/>
        </w:rPr>
        <w:lastRenderedPageBreak/>
        <w:t>adequada, o cumprimento dos critérios estabelecidos neste regulamento, a adoção sistemática do número mínimo exigido para cada nível de práticas disseminadas nos bancos das referidas unidades, com alcance de resultados positivos na execução da rotina de trabalho.</w:t>
      </w:r>
    </w:p>
    <w:p w14:paraId="30C03B41" w14:textId="77777777" w:rsidR="00754ED6" w:rsidRPr="00A505D6" w:rsidRDefault="00DA697A" w:rsidP="007F51B0">
      <w:pPr>
        <w:spacing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 xml:space="preserve">Art. 5º. As inscrições, das unidades interessadas em participar do concurso, serão formalizadas, via e-mail, com as seguintes informações relativas às práticas que já reproduzem em sua rotina de trabalho: </w:t>
      </w:r>
    </w:p>
    <w:p w14:paraId="2948FB1D" w14:textId="693B04D4" w:rsidR="00754ED6" w:rsidRPr="00A505D6" w:rsidRDefault="00DA697A" w:rsidP="007F51B0">
      <w:pPr>
        <w:spacing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 xml:space="preserve">I - </w:t>
      </w:r>
      <w:r w:rsidR="0049194C" w:rsidRPr="00A505D6">
        <w:rPr>
          <w:rFonts w:cstheme="minorHAnsi"/>
          <w:sz w:val="24"/>
          <w:szCs w:val="24"/>
        </w:rPr>
        <w:t>Identificação</w:t>
      </w:r>
      <w:r w:rsidRPr="00A505D6">
        <w:rPr>
          <w:rFonts w:cstheme="minorHAnsi"/>
          <w:sz w:val="24"/>
          <w:szCs w:val="24"/>
        </w:rPr>
        <w:t xml:space="preserve"> da unidade; </w:t>
      </w:r>
    </w:p>
    <w:p w14:paraId="7932AABC" w14:textId="4A749B96" w:rsidR="00077DAB" w:rsidRPr="00A505D6" w:rsidRDefault="00DA697A" w:rsidP="007F51B0">
      <w:pPr>
        <w:spacing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 xml:space="preserve">II - </w:t>
      </w:r>
      <w:r w:rsidR="0049194C" w:rsidRPr="00A505D6">
        <w:rPr>
          <w:rFonts w:cstheme="minorHAnsi"/>
          <w:sz w:val="24"/>
          <w:szCs w:val="24"/>
        </w:rPr>
        <w:t>Descrição</w:t>
      </w:r>
      <w:r w:rsidRPr="00A505D6">
        <w:rPr>
          <w:rFonts w:cstheme="minorHAnsi"/>
          <w:sz w:val="24"/>
          <w:szCs w:val="24"/>
        </w:rPr>
        <w:t xml:space="preserve"> da experiência da unidade na utilização das boas práticas, sendo indispensável constar: </w:t>
      </w:r>
    </w:p>
    <w:p w14:paraId="7D0E88FF" w14:textId="77777777" w:rsidR="00077DAB" w:rsidRPr="00A505D6" w:rsidRDefault="00DA697A" w:rsidP="00A505D6">
      <w:pPr>
        <w:spacing w:line="360" w:lineRule="auto"/>
        <w:ind w:left="709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 xml:space="preserve">a) número que identifica as práticas reproduzidas no Banco de Boas Práticas; </w:t>
      </w:r>
    </w:p>
    <w:p w14:paraId="4A59AA80" w14:textId="468E14D0" w:rsidR="00077DAB" w:rsidRPr="00A505D6" w:rsidRDefault="00DA697A" w:rsidP="00A505D6">
      <w:pPr>
        <w:spacing w:line="360" w:lineRule="auto"/>
        <w:ind w:left="709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>b)</w:t>
      </w:r>
      <w:r w:rsidR="00A505D6">
        <w:rPr>
          <w:rFonts w:cstheme="minorHAnsi"/>
          <w:sz w:val="24"/>
          <w:szCs w:val="24"/>
        </w:rPr>
        <w:t xml:space="preserve"> </w:t>
      </w:r>
      <w:r w:rsidRPr="00A505D6">
        <w:rPr>
          <w:rFonts w:cstheme="minorHAnsi"/>
          <w:sz w:val="24"/>
          <w:szCs w:val="24"/>
        </w:rPr>
        <w:t xml:space="preserve">informação dos resultados alcançados com o uso de cada prática citada, acompanhada dos respectivos registros comprobatórios, caso seja o resultado passível de demonstração. </w:t>
      </w:r>
    </w:p>
    <w:p w14:paraId="4F3BB494" w14:textId="25D0D908" w:rsidR="00CD0C8E" w:rsidRPr="00A505D6" w:rsidRDefault="00CD0C8E" w:rsidP="00CD0C8E">
      <w:pPr>
        <w:spacing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>§</w:t>
      </w:r>
      <w:r w:rsidR="00A505D6">
        <w:rPr>
          <w:rFonts w:cstheme="minorHAnsi"/>
          <w:sz w:val="24"/>
          <w:szCs w:val="24"/>
        </w:rPr>
        <w:t xml:space="preserve"> </w:t>
      </w:r>
      <w:r w:rsidRPr="00A505D6">
        <w:rPr>
          <w:rFonts w:cstheme="minorHAnsi"/>
          <w:sz w:val="24"/>
          <w:szCs w:val="24"/>
        </w:rPr>
        <w:t xml:space="preserve">1º As inscrições, de unidades vinculadas à Corregedoria Geral da Justiça, serão formuladas por e-mail do Encarregado/Responsável Administrativo, com cópia para o Magistrado ou Juiz Coordenador, dirigidas ao Serviço de Compliance e Planejamento e Acompanhamento de Lotações (SEPAL), endereçadas à </w:t>
      </w:r>
      <w:hyperlink r:id="rId11" w:history="1">
        <w:r w:rsidRPr="00A505D6">
          <w:rPr>
            <w:rStyle w:val="Hyperlink"/>
            <w:rFonts w:cstheme="minorHAnsi"/>
            <w:sz w:val="24"/>
            <w:szCs w:val="24"/>
          </w:rPr>
          <w:t>dipla.sepal@tjrj.jus.br</w:t>
        </w:r>
      </w:hyperlink>
      <w:r w:rsidRPr="00A505D6">
        <w:rPr>
          <w:rFonts w:cstheme="minorHAnsi"/>
          <w:sz w:val="24"/>
          <w:szCs w:val="24"/>
        </w:rPr>
        <w:t xml:space="preserve">. </w:t>
      </w:r>
    </w:p>
    <w:p w14:paraId="6FB48C99" w14:textId="6DC3379F" w:rsidR="00EE2C0E" w:rsidRPr="00A505D6" w:rsidRDefault="00991909" w:rsidP="007F51B0">
      <w:pPr>
        <w:spacing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>§</w:t>
      </w:r>
      <w:r w:rsidR="00A505D6">
        <w:rPr>
          <w:rFonts w:cstheme="minorHAnsi"/>
          <w:sz w:val="24"/>
          <w:szCs w:val="24"/>
        </w:rPr>
        <w:t xml:space="preserve"> </w:t>
      </w:r>
      <w:r w:rsidR="00CD0C8E" w:rsidRPr="00A505D6">
        <w:rPr>
          <w:rFonts w:cstheme="minorHAnsi"/>
          <w:sz w:val="24"/>
          <w:szCs w:val="24"/>
        </w:rPr>
        <w:t>2</w:t>
      </w:r>
      <w:r w:rsidRPr="00A505D6">
        <w:rPr>
          <w:rFonts w:cstheme="minorHAnsi"/>
          <w:sz w:val="24"/>
          <w:szCs w:val="24"/>
        </w:rPr>
        <w:t xml:space="preserve">º As inscrições, </w:t>
      </w:r>
      <w:r w:rsidR="00EE2C0E" w:rsidRPr="00A505D6">
        <w:rPr>
          <w:rFonts w:cstheme="minorHAnsi"/>
          <w:sz w:val="24"/>
          <w:szCs w:val="24"/>
        </w:rPr>
        <w:t>d</w:t>
      </w:r>
      <w:r w:rsidR="00CC6B0F" w:rsidRPr="00A505D6">
        <w:rPr>
          <w:rFonts w:cstheme="minorHAnsi"/>
          <w:sz w:val="24"/>
          <w:szCs w:val="24"/>
        </w:rPr>
        <w:t>as</w:t>
      </w:r>
      <w:r w:rsidRPr="00A505D6">
        <w:rPr>
          <w:rFonts w:cstheme="minorHAnsi"/>
          <w:sz w:val="24"/>
          <w:szCs w:val="24"/>
        </w:rPr>
        <w:t xml:space="preserve"> unidades vinculadas à Corregedoria Geral da Justiça, </w:t>
      </w:r>
      <w:r w:rsidR="00EE2C0E" w:rsidRPr="00A505D6">
        <w:rPr>
          <w:rFonts w:cstheme="minorHAnsi"/>
          <w:sz w:val="24"/>
          <w:szCs w:val="24"/>
        </w:rPr>
        <w:t xml:space="preserve">ficarão </w:t>
      </w:r>
      <w:r w:rsidR="00E15936" w:rsidRPr="00A505D6">
        <w:rPr>
          <w:rFonts w:cstheme="minorHAnsi"/>
          <w:sz w:val="24"/>
          <w:szCs w:val="24"/>
        </w:rPr>
        <w:t>condicionadas ao</w:t>
      </w:r>
      <w:r w:rsidR="00EE2C0E" w:rsidRPr="00A505D6">
        <w:rPr>
          <w:rFonts w:cstheme="minorHAnsi"/>
          <w:sz w:val="24"/>
          <w:szCs w:val="24"/>
        </w:rPr>
        <w:t xml:space="preserve"> atendimento dos </w:t>
      </w:r>
      <w:r w:rsidR="00CC6B0F" w:rsidRPr="00A505D6">
        <w:rPr>
          <w:rFonts w:cstheme="minorHAnsi"/>
          <w:sz w:val="24"/>
          <w:szCs w:val="24"/>
        </w:rPr>
        <w:t xml:space="preserve">seguintes </w:t>
      </w:r>
      <w:r w:rsidR="00EE2C0E" w:rsidRPr="00A505D6">
        <w:rPr>
          <w:rFonts w:cstheme="minorHAnsi"/>
          <w:sz w:val="24"/>
          <w:szCs w:val="24"/>
        </w:rPr>
        <w:t>requisitos:</w:t>
      </w:r>
    </w:p>
    <w:p w14:paraId="187E0A85" w14:textId="2DEFD452" w:rsidR="00CD0C8E" w:rsidRPr="00A505D6" w:rsidRDefault="00EE2C0E" w:rsidP="00A505D6">
      <w:pPr>
        <w:pStyle w:val="PargrafodaLista"/>
        <w:numPr>
          <w:ilvl w:val="0"/>
          <w:numId w:val="3"/>
        </w:numPr>
        <w:spacing w:line="360" w:lineRule="auto"/>
        <w:ind w:left="993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 xml:space="preserve">Número </w:t>
      </w:r>
      <w:r w:rsidR="00CD0C8E" w:rsidRPr="00A505D6">
        <w:rPr>
          <w:rFonts w:cstheme="minorHAnsi"/>
          <w:sz w:val="24"/>
          <w:szCs w:val="24"/>
        </w:rPr>
        <w:t xml:space="preserve">de </w:t>
      </w:r>
      <w:r w:rsidRPr="00A505D6">
        <w:rPr>
          <w:rFonts w:cstheme="minorHAnsi"/>
          <w:sz w:val="24"/>
          <w:szCs w:val="24"/>
        </w:rPr>
        <w:t xml:space="preserve">reclamações </w:t>
      </w:r>
      <w:r w:rsidR="00CC6B0F" w:rsidRPr="00A505D6">
        <w:rPr>
          <w:rFonts w:cstheme="minorHAnsi"/>
          <w:sz w:val="24"/>
          <w:szCs w:val="24"/>
        </w:rPr>
        <w:t>junto à</w:t>
      </w:r>
      <w:r w:rsidRPr="00A505D6">
        <w:rPr>
          <w:rFonts w:cstheme="minorHAnsi"/>
          <w:sz w:val="24"/>
          <w:szCs w:val="24"/>
        </w:rPr>
        <w:t xml:space="preserve"> </w:t>
      </w:r>
      <w:r w:rsidR="00CD0C8E" w:rsidRPr="00A505D6">
        <w:rPr>
          <w:rFonts w:cstheme="minorHAnsi"/>
          <w:sz w:val="24"/>
          <w:szCs w:val="24"/>
        </w:rPr>
        <w:t>O</w:t>
      </w:r>
      <w:r w:rsidRPr="00A505D6">
        <w:rPr>
          <w:rFonts w:cstheme="minorHAnsi"/>
          <w:sz w:val="24"/>
          <w:szCs w:val="24"/>
        </w:rPr>
        <w:t xml:space="preserve">uvidoria </w:t>
      </w:r>
      <w:r w:rsidR="00CC6B0F" w:rsidRPr="00A505D6">
        <w:rPr>
          <w:rFonts w:cstheme="minorHAnsi"/>
          <w:sz w:val="24"/>
          <w:szCs w:val="24"/>
        </w:rPr>
        <w:t xml:space="preserve">Geral do TJRJ </w:t>
      </w:r>
      <w:r w:rsidR="00CD0C8E" w:rsidRPr="00A505D6">
        <w:rPr>
          <w:rFonts w:cstheme="minorHAnsi"/>
          <w:sz w:val="24"/>
          <w:szCs w:val="24"/>
        </w:rPr>
        <w:t xml:space="preserve">não superior a 05 (cinco) </w:t>
      </w:r>
      <w:r w:rsidRPr="00A505D6">
        <w:rPr>
          <w:rFonts w:cstheme="minorHAnsi"/>
          <w:sz w:val="24"/>
          <w:szCs w:val="24"/>
        </w:rPr>
        <w:t xml:space="preserve">nos doze meses </w:t>
      </w:r>
      <w:r w:rsidR="00CD0C8E" w:rsidRPr="00A505D6">
        <w:rPr>
          <w:rFonts w:cstheme="minorHAnsi"/>
          <w:sz w:val="24"/>
          <w:szCs w:val="24"/>
        </w:rPr>
        <w:t>que antecederem a</w:t>
      </w:r>
      <w:r w:rsidRPr="00A505D6">
        <w:rPr>
          <w:rFonts w:cstheme="minorHAnsi"/>
          <w:sz w:val="24"/>
          <w:szCs w:val="24"/>
        </w:rPr>
        <w:t xml:space="preserve"> </w:t>
      </w:r>
      <w:r w:rsidR="00CD0C8E" w:rsidRPr="00A505D6">
        <w:rPr>
          <w:rFonts w:cstheme="minorHAnsi"/>
          <w:sz w:val="24"/>
          <w:szCs w:val="24"/>
        </w:rPr>
        <w:t>abertura do prazo das inscrições;</w:t>
      </w:r>
    </w:p>
    <w:p w14:paraId="77D7D25C" w14:textId="7903040E" w:rsidR="00CD0C8E" w:rsidRPr="00A505D6" w:rsidRDefault="00CD0C8E" w:rsidP="00A505D6">
      <w:pPr>
        <w:pStyle w:val="PargrafodaLista"/>
        <w:numPr>
          <w:ilvl w:val="0"/>
          <w:numId w:val="3"/>
        </w:numPr>
        <w:spacing w:line="360" w:lineRule="auto"/>
        <w:ind w:left="993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 xml:space="preserve">Grau de cumprimento das Metas não inferior </w:t>
      </w:r>
      <w:r w:rsidR="00CC6B0F" w:rsidRPr="00A505D6">
        <w:rPr>
          <w:rFonts w:cstheme="minorHAnsi"/>
          <w:sz w:val="24"/>
          <w:szCs w:val="24"/>
        </w:rPr>
        <w:t>à</w:t>
      </w:r>
      <w:r w:rsidRPr="00A505D6">
        <w:rPr>
          <w:rFonts w:cstheme="minorHAnsi"/>
          <w:sz w:val="24"/>
          <w:szCs w:val="24"/>
        </w:rPr>
        <w:t xml:space="preserve"> média do grupo de atribuições; </w:t>
      </w:r>
    </w:p>
    <w:p w14:paraId="55962E1D" w14:textId="00910C11" w:rsidR="00CD0C8E" w:rsidRPr="00A505D6" w:rsidRDefault="00CD0C8E" w:rsidP="00A505D6">
      <w:pPr>
        <w:pStyle w:val="PargrafodaLista"/>
        <w:numPr>
          <w:ilvl w:val="0"/>
          <w:numId w:val="3"/>
        </w:numPr>
        <w:spacing w:line="360" w:lineRule="auto"/>
        <w:ind w:left="993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>Taxa de congestionamento inferior</w:t>
      </w:r>
      <w:r w:rsidR="00E15936" w:rsidRPr="00A505D6">
        <w:rPr>
          <w:rFonts w:cstheme="minorHAnsi"/>
          <w:sz w:val="24"/>
          <w:szCs w:val="24"/>
        </w:rPr>
        <w:t xml:space="preserve"> </w:t>
      </w:r>
      <w:r w:rsidR="00E15936" w:rsidRPr="00A505D6">
        <w:rPr>
          <w:rFonts w:cstheme="minorHAnsi"/>
          <w:iCs/>
          <w:sz w:val="24"/>
          <w:szCs w:val="24"/>
        </w:rPr>
        <w:t>à alcançada pela serventia no ano anterior</w:t>
      </w:r>
      <w:r w:rsidRPr="00A505D6">
        <w:rPr>
          <w:rFonts w:cstheme="minorHAnsi"/>
          <w:sz w:val="24"/>
          <w:szCs w:val="24"/>
        </w:rPr>
        <w:t>;</w:t>
      </w:r>
    </w:p>
    <w:p w14:paraId="73CD8CE1" w14:textId="2D76628A" w:rsidR="00CD0C8E" w:rsidRPr="00A505D6" w:rsidRDefault="00CD0C8E" w:rsidP="00A505D6">
      <w:pPr>
        <w:pStyle w:val="PargrafodaLista"/>
        <w:numPr>
          <w:ilvl w:val="0"/>
          <w:numId w:val="3"/>
        </w:numPr>
        <w:spacing w:line="360" w:lineRule="auto"/>
        <w:ind w:left="993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 xml:space="preserve"> P</w:t>
      </w:r>
      <w:r w:rsidR="00E15936" w:rsidRPr="00A505D6">
        <w:rPr>
          <w:rFonts w:cstheme="minorHAnsi"/>
          <w:sz w:val="24"/>
          <w:szCs w:val="24"/>
        </w:rPr>
        <w:t xml:space="preserve">rodutividade igual ou superior à </w:t>
      </w:r>
      <w:r w:rsidRPr="00A505D6">
        <w:rPr>
          <w:rFonts w:cstheme="minorHAnsi"/>
          <w:sz w:val="24"/>
          <w:szCs w:val="24"/>
        </w:rPr>
        <w:t>média das serventias do mesmo grupo de atribuições;</w:t>
      </w:r>
    </w:p>
    <w:p w14:paraId="61818E9A" w14:textId="79F07F3B" w:rsidR="00CD0C8E" w:rsidRPr="00A505D6" w:rsidRDefault="00CD0C8E" w:rsidP="00A505D6">
      <w:pPr>
        <w:pStyle w:val="PargrafodaLista"/>
        <w:numPr>
          <w:ilvl w:val="0"/>
          <w:numId w:val="3"/>
        </w:numPr>
        <w:spacing w:line="360" w:lineRule="auto"/>
        <w:ind w:left="993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 xml:space="preserve">Inexistências de processos paralisados </w:t>
      </w:r>
      <w:r w:rsidR="00CC6B0F" w:rsidRPr="00A505D6">
        <w:rPr>
          <w:rFonts w:cstheme="minorHAnsi"/>
          <w:sz w:val="24"/>
          <w:szCs w:val="24"/>
        </w:rPr>
        <w:t xml:space="preserve">na serventia </w:t>
      </w:r>
      <w:r w:rsidRPr="00A505D6">
        <w:rPr>
          <w:rFonts w:cstheme="minorHAnsi"/>
          <w:sz w:val="24"/>
          <w:szCs w:val="24"/>
        </w:rPr>
        <w:t>há mais de 60 (sessenta dias)</w:t>
      </w:r>
      <w:r w:rsidR="00CC6B0F" w:rsidRPr="00A505D6">
        <w:rPr>
          <w:rFonts w:cstheme="minorHAnsi"/>
          <w:sz w:val="24"/>
          <w:szCs w:val="24"/>
        </w:rPr>
        <w:t>.</w:t>
      </w:r>
      <w:r w:rsidRPr="00A505D6">
        <w:rPr>
          <w:rFonts w:cstheme="minorHAnsi"/>
          <w:sz w:val="24"/>
          <w:szCs w:val="24"/>
        </w:rPr>
        <w:t xml:space="preserve"> </w:t>
      </w:r>
    </w:p>
    <w:p w14:paraId="4470B1AC" w14:textId="7539C213" w:rsidR="00DA697A" w:rsidRPr="00A505D6" w:rsidRDefault="00DA697A" w:rsidP="007F51B0">
      <w:pPr>
        <w:spacing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>§</w:t>
      </w:r>
      <w:r w:rsidR="00A505D6">
        <w:rPr>
          <w:rFonts w:cstheme="minorHAnsi"/>
          <w:sz w:val="24"/>
          <w:szCs w:val="24"/>
        </w:rPr>
        <w:t xml:space="preserve"> </w:t>
      </w:r>
      <w:r w:rsidR="00BB2602" w:rsidRPr="00A505D6">
        <w:rPr>
          <w:rFonts w:cstheme="minorHAnsi"/>
          <w:sz w:val="24"/>
          <w:szCs w:val="24"/>
        </w:rPr>
        <w:t>3</w:t>
      </w:r>
      <w:r w:rsidRPr="00A505D6">
        <w:rPr>
          <w:rFonts w:cstheme="minorHAnsi"/>
          <w:sz w:val="24"/>
          <w:szCs w:val="24"/>
        </w:rPr>
        <w:t xml:space="preserve">º Quando se tratar de unidades de 2ª instância ou vinculadas à Presidência do Tribunal de Justiça, a inscrição será encaminhada pelo Secretário da Câmara, Diretor e/ou Gestor, com cópia para autoridade a que está vinculado, para fins de ciência, dirigidas à Divisão de Desenvolvimento Estratégico, endereçadas à </w:t>
      </w:r>
      <w:hyperlink r:id="rId12" w:history="1">
        <w:r w:rsidRPr="00A505D6">
          <w:rPr>
            <w:rStyle w:val="Hyperlink"/>
            <w:rFonts w:cstheme="minorHAnsi"/>
            <w:sz w:val="24"/>
            <w:szCs w:val="24"/>
          </w:rPr>
          <w:t>deind.dides@tjrj.jus.br</w:t>
        </w:r>
      </w:hyperlink>
      <w:r w:rsidRPr="00A505D6">
        <w:rPr>
          <w:rFonts w:cstheme="minorHAnsi"/>
          <w:sz w:val="24"/>
          <w:szCs w:val="24"/>
        </w:rPr>
        <w:t xml:space="preserve">. </w:t>
      </w:r>
    </w:p>
    <w:p w14:paraId="2D7DD69F" w14:textId="787A4FD8" w:rsidR="00DA697A" w:rsidRPr="00A505D6" w:rsidRDefault="00DA697A" w:rsidP="007F51B0">
      <w:pPr>
        <w:spacing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lastRenderedPageBreak/>
        <w:t>Art.</w:t>
      </w:r>
      <w:r w:rsidR="00E415E9">
        <w:rPr>
          <w:rFonts w:cstheme="minorHAnsi"/>
          <w:sz w:val="24"/>
          <w:szCs w:val="24"/>
        </w:rPr>
        <w:t xml:space="preserve"> </w:t>
      </w:r>
      <w:r w:rsidRPr="00A505D6">
        <w:rPr>
          <w:rFonts w:cstheme="minorHAnsi"/>
          <w:sz w:val="24"/>
          <w:szCs w:val="24"/>
        </w:rPr>
        <w:t xml:space="preserve">6º A avaliação do atendimento dos requisitos para concessão do prêmio e a apuração do nível alcançado serão atribuições das unidades discriminadas no artigo 5º deste Ato Normativo Conjunto, que ficarão responsáveis, ainda, por responder às solicitações e informar se foram cumpridas as exigências para a outorga do Selo de Boas Práticas das Unidades. </w:t>
      </w:r>
    </w:p>
    <w:p w14:paraId="708D802C" w14:textId="5635C6DF" w:rsidR="00256351" w:rsidRPr="00A505D6" w:rsidRDefault="00DA697A" w:rsidP="007F51B0">
      <w:pPr>
        <w:spacing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 xml:space="preserve">Art. 7º As unidades responsáveis, diretamente ou por meio de pessoa ou equipe que vier a designar, poderão fazer diligências, incluindo chamadas, videoconferência e requisição de informações adicionais, para verificação do conteúdo das informações prestadas pelas unidades. </w:t>
      </w:r>
    </w:p>
    <w:p w14:paraId="0C5EA596" w14:textId="4AD7DC93" w:rsidR="00077DAB" w:rsidRPr="00A505D6" w:rsidRDefault="00DA697A" w:rsidP="007F51B0">
      <w:pPr>
        <w:spacing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>Art. 8º</w:t>
      </w:r>
      <w:r w:rsidR="00E415E9">
        <w:rPr>
          <w:rFonts w:cstheme="minorHAnsi"/>
          <w:sz w:val="24"/>
          <w:szCs w:val="24"/>
        </w:rPr>
        <w:t xml:space="preserve"> </w:t>
      </w:r>
      <w:r w:rsidRPr="00A505D6">
        <w:rPr>
          <w:rFonts w:cstheme="minorHAnsi"/>
          <w:sz w:val="24"/>
          <w:szCs w:val="24"/>
        </w:rPr>
        <w:t xml:space="preserve">Será considerada, como critério para a avaliação e seleção das unidades premiadas, a adoção comprovada das práticas constantes dos Bancos de Boas Práticas. </w:t>
      </w:r>
    </w:p>
    <w:p w14:paraId="62CA6A9D" w14:textId="64172839" w:rsidR="00077DAB" w:rsidRPr="00A505D6" w:rsidRDefault="00DA697A" w:rsidP="007F51B0">
      <w:pPr>
        <w:spacing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>§</w:t>
      </w:r>
      <w:r w:rsidR="00E415E9">
        <w:rPr>
          <w:rFonts w:cstheme="minorHAnsi"/>
          <w:sz w:val="24"/>
          <w:szCs w:val="24"/>
        </w:rPr>
        <w:t xml:space="preserve"> </w:t>
      </w:r>
      <w:r w:rsidRPr="00A505D6">
        <w:rPr>
          <w:rFonts w:cstheme="minorHAnsi"/>
          <w:sz w:val="24"/>
          <w:szCs w:val="24"/>
        </w:rPr>
        <w:t xml:space="preserve">1º No caso de resultados informados sem a respectiva comprovação, os serviços responsáveis pela avaliação solicitarão à unidade que envie registros complementares, se entenderem que as informações são passíveis de demonstração. </w:t>
      </w:r>
    </w:p>
    <w:p w14:paraId="3FA414F8" w14:textId="676F100F" w:rsidR="00256351" w:rsidRPr="00A505D6" w:rsidRDefault="00DA697A" w:rsidP="007F51B0">
      <w:pPr>
        <w:spacing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>§</w:t>
      </w:r>
      <w:r w:rsidR="00E415E9">
        <w:rPr>
          <w:rFonts w:cstheme="minorHAnsi"/>
          <w:sz w:val="24"/>
          <w:szCs w:val="24"/>
        </w:rPr>
        <w:t xml:space="preserve"> </w:t>
      </w:r>
      <w:r w:rsidRPr="00A505D6">
        <w:rPr>
          <w:rFonts w:cstheme="minorHAnsi"/>
          <w:sz w:val="24"/>
          <w:szCs w:val="24"/>
        </w:rPr>
        <w:t>2º O descumprimento do prazo estabelecido para a remessa dos documentos complementares dará ensejo à reprovação da boa prática vinculada ao resultado.</w:t>
      </w:r>
    </w:p>
    <w:p w14:paraId="1B020E8A" w14:textId="2AC80B3B" w:rsidR="001A5FBD" w:rsidRPr="00A505D6" w:rsidRDefault="00DA697A" w:rsidP="007F51B0">
      <w:pPr>
        <w:spacing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 xml:space="preserve"> Art. 9º Após a publicação do resultado, as unidades inscritas terão o prazo de 5 (cinco) dias úteis para impugná-lo, por meio de e-mail dirigido às unidades que constam no artigo 5º. </w:t>
      </w:r>
    </w:p>
    <w:p w14:paraId="2FEBA028" w14:textId="49569E41" w:rsidR="00256351" w:rsidRPr="00A505D6" w:rsidRDefault="00DA697A" w:rsidP="007F51B0">
      <w:pPr>
        <w:spacing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 xml:space="preserve">Parágrafo Único - O pedido de reconsideração será analisado e o resultado será publicado no prazo de 5 (cinco) dias úteis. </w:t>
      </w:r>
    </w:p>
    <w:p w14:paraId="48566910" w14:textId="77777777" w:rsidR="0049194C" w:rsidRPr="00A505D6" w:rsidRDefault="00DA697A" w:rsidP="007F51B0">
      <w:pPr>
        <w:spacing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>Art. 10. O resultado será publicado no Diário da Justiça Eletrônico, com a identificação de cada unidade premiada e o nível do Selo concedido.</w:t>
      </w:r>
    </w:p>
    <w:p w14:paraId="045C3077" w14:textId="77777777" w:rsidR="0049194C" w:rsidRPr="00A505D6" w:rsidRDefault="00DA697A" w:rsidP="007F51B0">
      <w:pPr>
        <w:spacing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>Seção II</w:t>
      </w:r>
    </w:p>
    <w:p w14:paraId="2D6CDC80" w14:textId="20D772CF" w:rsidR="00256351" w:rsidRPr="00A505D6" w:rsidRDefault="00DA697A" w:rsidP="007F51B0">
      <w:pPr>
        <w:spacing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 xml:space="preserve">Níveis de Premiação para as Unidades Cartorárias da 1ª instância, Executoras de Mandados e Unidades Judiciais da 2ª instância </w:t>
      </w:r>
    </w:p>
    <w:p w14:paraId="64727808" w14:textId="6000DE7F" w:rsidR="00256351" w:rsidRPr="00A505D6" w:rsidRDefault="00DA697A" w:rsidP="007F51B0">
      <w:pPr>
        <w:spacing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 xml:space="preserve">Art. 11. Será concedida a premiação em 3 (três) níveis às unidades: Selo Bronze, Selo Prata e Selo Ouro. </w:t>
      </w:r>
    </w:p>
    <w:p w14:paraId="16C58007" w14:textId="77777777" w:rsidR="001A5FBD" w:rsidRPr="00A505D6" w:rsidRDefault="00DA697A" w:rsidP="007F51B0">
      <w:pPr>
        <w:spacing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lastRenderedPageBreak/>
        <w:t xml:space="preserve">Art. 12. As unidades detentoras do maior número de boas práticas aprovadas, desde que tenham obtido pontuação suficiente para obtenção do "Selo Ouro", serão contempladas com o prêmio extra do "Selo Excelência em Boas Práticas". </w:t>
      </w:r>
    </w:p>
    <w:p w14:paraId="59598120" w14:textId="38F47F54" w:rsidR="00256351" w:rsidRPr="00A505D6" w:rsidRDefault="00DA697A" w:rsidP="007F51B0">
      <w:pPr>
        <w:spacing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 xml:space="preserve">Parágrafo único - Em caso de igualdade de número de práticas não haverá desempate e receberão o Prêmio Excelência todas as unidades com maior número de práticas comprovadas. </w:t>
      </w:r>
    </w:p>
    <w:p w14:paraId="0DC1B047" w14:textId="5646C663" w:rsidR="00256351" w:rsidRPr="00A505D6" w:rsidRDefault="00DA697A" w:rsidP="00A505D6">
      <w:pPr>
        <w:spacing w:before="360"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 xml:space="preserve">CAPÍTULO IV </w:t>
      </w:r>
    </w:p>
    <w:p w14:paraId="4705B062" w14:textId="59BB9EA3" w:rsidR="00256351" w:rsidRPr="00A505D6" w:rsidRDefault="00DA697A" w:rsidP="007F51B0">
      <w:pPr>
        <w:spacing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 xml:space="preserve">DISPOSIÇÕES FINAIS </w:t>
      </w:r>
    </w:p>
    <w:p w14:paraId="1350E452" w14:textId="77777777" w:rsidR="00256351" w:rsidRPr="00A505D6" w:rsidRDefault="00DA697A" w:rsidP="007F51B0">
      <w:pPr>
        <w:spacing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 xml:space="preserve">Art. 13. A aquisição do Selo de Boas Práticas será anotada nos registros funcionais dos servidores das unidades, cujo rol será publicado no Diário da Justiça Eletrônico. </w:t>
      </w:r>
    </w:p>
    <w:p w14:paraId="28CF0106" w14:textId="77777777" w:rsidR="00256351" w:rsidRPr="00A505D6" w:rsidRDefault="00DA697A" w:rsidP="007F51B0">
      <w:pPr>
        <w:spacing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>Art. 14. Os casos omissos serão resolvidos pelas unidades responsáveis que constam no artigo 5º.</w:t>
      </w:r>
    </w:p>
    <w:p w14:paraId="11703870" w14:textId="284A46BE" w:rsidR="00256351" w:rsidRPr="00A505D6" w:rsidRDefault="00DA697A" w:rsidP="007F51B0">
      <w:pPr>
        <w:spacing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>Art. 15. O quantitativo de boas práticas, as datas e prazos da premiação do Selo serão definidos em ato próprio.</w:t>
      </w:r>
    </w:p>
    <w:p w14:paraId="2A31A393" w14:textId="4488A60A" w:rsidR="00256351" w:rsidRPr="00A505D6" w:rsidRDefault="00DA697A" w:rsidP="007F51B0">
      <w:pPr>
        <w:spacing w:line="360" w:lineRule="auto"/>
        <w:jc w:val="both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 xml:space="preserve">Art. 16. Este Ato Normativo Conjunto entra em vigor na data de sua publicação. </w:t>
      </w:r>
    </w:p>
    <w:p w14:paraId="49B01766" w14:textId="77777777" w:rsidR="00A505D6" w:rsidRDefault="00A505D6" w:rsidP="00D95011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6DA9D3B4" w14:textId="0D031101" w:rsidR="00A70EBE" w:rsidRPr="00A505D6" w:rsidRDefault="00DA697A" w:rsidP="00D95011">
      <w:pPr>
        <w:spacing w:line="360" w:lineRule="auto"/>
        <w:jc w:val="center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 xml:space="preserve">Rio de Janeiro, </w:t>
      </w:r>
      <w:r w:rsidR="00505304" w:rsidRPr="00A505D6">
        <w:rPr>
          <w:rFonts w:cstheme="minorHAnsi"/>
          <w:sz w:val="24"/>
          <w:szCs w:val="24"/>
        </w:rPr>
        <w:t>XXXXXXXXXXXX</w:t>
      </w:r>
    </w:p>
    <w:p w14:paraId="5DD765FE" w14:textId="067C8767" w:rsidR="00256351" w:rsidRPr="00A505D6" w:rsidRDefault="00DA697A" w:rsidP="00D9501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 xml:space="preserve">Desembargador </w:t>
      </w:r>
      <w:r w:rsidR="00A70EBE" w:rsidRPr="00A505D6">
        <w:rPr>
          <w:rFonts w:cstheme="minorHAnsi"/>
          <w:sz w:val="24"/>
          <w:szCs w:val="24"/>
        </w:rPr>
        <w:t>NOME DO PRESIDENTE</w:t>
      </w:r>
    </w:p>
    <w:p w14:paraId="4FF9162D" w14:textId="77777777" w:rsidR="00A70EBE" w:rsidRPr="00A505D6" w:rsidRDefault="00DA697A" w:rsidP="00A70EBE">
      <w:pPr>
        <w:spacing w:line="360" w:lineRule="auto"/>
        <w:jc w:val="center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>Presidente do Tribunal de Justiça do Estado do Rio de Janeiro Desembargador</w:t>
      </w:r>
    </w:p>
    <w:p w14:paraId="1D1A9542" w14:textId="7208B2D3" w:rsidR="00256351" w:rsidRPr="00A505D6" w:rsidRDefault="00256351" w:rsidP="00A70EBE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2550388" w14:textId="192794E2" w:rsidR="00256351" w:rsidRPr="00A505D6" w:rsidRDefault="0088240D" w:rsidP="00A505D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 xml:space="preserve">Corregedor </w:t>
      </w:r>
      <w:r w:rsidR="00A70EBE" w:rsidRPr="00A505D6">
        <w:rPr>
          <w:rFonts w:cstheme="minorHAnsi"/>
          <w:sz w:val="24"/>
          <w:szCs w:val="24"/>
        </w:rPr>
        <w:t>NOME DO CORREGEDOR</w:t>
      </w:r>
    </w:p>
    <w:p w14:paraId="7928E706" w14:textId="463177BA" w:rsidR="00805459" w:rsidRPr="00A505D6" w:rsidRDefault="00DA697A" w:rsidP="00A70EBE">
      <w:pPr>
        <w:spacing w:line="360" w:lineRule="auto"/>
        <w:jc w:val="center"/>
        <w:rPr>
          <w:rFonts w:cstheme="minorHAnsi"/>
          <w:sz w:val="24"/>
          <w:szCs w:val="24"/>
        </w:rPr>
      </w:pPr>
      <w:r w:rsidRPr="00A505D6">
        <w:rPr>
          <w:rFonts w:cstheme="minorHAnsi"/>
          <w:sz w:val="24"/>
          <w:szCs w:val="24"/>
        </w:rPr>
        <w:t>Corregedor</w:t>
      </w:r>
      <w:r w:rsidR="00A70EBE" w:rsidRPr="00A505D6">
        <w:rPr>
          <w:rFonts w:cstheme="minorHAnsi"/>
          <w:sz w:val="24"/>
          <w:szCs w:val="24"/>
        </w:rPr>
        <w:t xml:space="preserve"> </w:t>
      </w:r>
      <w:r w:rsidRPr="00A505D6">
        <w:rPr>
          <w:rFonts w:cstheme="minorHAnsi"/>
          <w:sz w:val="24"/>
          <w:szCs w:val="24"/>
        </w:rPr>
        <w:t>Geral da Justiça do Estado do Rio de Janeiro</w:t>
      </w:r>
    </w:p>
    <w:sectPr w:rsidR="00805459" w:rsidRPr="00A505D6" w:rsidSect="00D95011">
      <w:headerReference w:type="default" r:id="rId13"/>
      <w:footerReference w:type="default" r:id="rId14"/>
      <w:pgSz w:w="11906" w:h="16838"/>
      <w:pgMar w:top="1417" w:right="566" w:bottom="851" w:left="1701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EC223" w14:textId="77777777" w:rsidR="00D95011" w:rsidRDefault="00D95011" w:rsidP="00D95011">
      <w:pPr>
        <w:spacing w:after="0" w:line="240" w:lineRule="auto"/>
      </w:pPr>
      <w:r>
        <w:separator/>
      </w:r>
    </w:p>
  </w:endnote>
  <w:endnote w:type="continuationSeparator" w:id="0">
    <w:p w14:paraId="4590F340" w14:textId="77777777" w:rsidR="00D95011" w:rsidRDefault="00D95011" w:rsidP="00D95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7"/>
      <w:gridCol w:w="2407"/>
      <w:gridCol w:w="2407"/>
      <w:gridCol w:w="2408"/>
    </w:tblGrid>
    <w:tr w:rsidR="00D95011" w:rsidRPr="00D95011" w14:paraId="40D9B50B" w14:textId="77777777" w:rsidTr="00D95011">
      <w:tc>
        <w:tcPr>
          <w:tcW w:w="2407" w:type="dxa"/>
          <w:vAlign w:val="center"/>
        </w:tcPr>
        <w:p w14:paraId="77B9FC52" w14:textId="1B1B82B3" w:rsidR="00D95011" w:rsidRPr="00D95011" w:rsidRDefault="00D95011" w:rsidP="00D95011">
          <w:pPr>
            <w:pStyle w:val="Rodap"/>
            <w:tabs>
              <w:tab w:val="clear" w:pos="8504"/>
            </w:tabs>
            <w:rPr>
              <w:rFonts w:cstheme="minorHAnsi"/>
              <w:b/>
              <w:bCs/>
              <w:sz w:val="16"/>
              <w:szCs w:val="16"/>
            </w:rPr>
          </w:pPr>
          <w:r w:rsidRPr="00D95011">
            <w:rPr>
              <w:rFonts w:cstheme="minorHAnsi"/>
              <w:b/>
              <w:bCs/>
              <w:sz w:val="16"/>
              <w:szCs w:val="16"/>
            </w:rPr>
            <w:t>FRM-SGGIC-011-0</w:t>
          </w:r>
          <w:r w:rsidR="00D05C63">
            <w:rPr>
              <w:rFonts w:cstheme="minorHAnsi"/>
              <w:b/>
              <w:bCs/>
              <w:sz w:val="16"/>
              <w:szCs w:val="16"/>
            </w:rPr>
            <w:t>4</w:t>
          </w:r>
        </w:p>
      </w:tc>
      <w:tc>
        <w:tcPr>
          <w:tcW w:w="2407" w:type="dxa"/>
          <w:vAlign w:val="center"/>
        </w:tcPr>
        <w:p w14:paraId="3511C296" w14:textId="4F2F09B8" w:rsidR="00D95011" w:rsidRPr="00D95011" w:rsidRDefault="00D95011" w:rsidP="00D95011">
          <w:pPr>
            <w:pStyle w:val="Rodap"/>
            <w:tabs>
              <w:tab w:val="clear" w:pos="8504"/>
            </w:tabs>
            <w:jc w:val="center"/>
            <w:rPr>
              <w:rFonts w:cstheme="minorHAnsi"/>
              <w:b/>
              <w:bCs/>
              <w:sz w:val="16"/>
              <w:szCs w:val="16"/>
            </w:rPr>
          </w:pPr>
          <w:r w:rsidRPr="00D95011">
            <w:rPr>
              <w:rFonts w:cstheme="minorHAnsi"/>
              <w:b/>
              <w:bCs/>
              <w:sz w:val="16"/>
              <w:szCs w:val="16"/>
            </w:rPr>
            <w:t>Rev.00</w:t>
          </w:r>
        </w:p>
      </w:tc>
      <w:tc>
        <w:tcPr>
          <w:tcW w:w="2407" w:type="dxa"/>
          <w:vAlign w:val="center"/>
        </w:tcPr>
        <w:p w14:paraId="0562C472" w14:textId="036C1342" w:rsidR="00D95011" w:rsidRPr="00D95011" w:rsidRDefault="00CF06B0" w:rsidP="00D95011">
          <w:pPr>
            <w:pStyle w:val="Rodap"/>
            <w:tabs>
              <w:tab w:val="clear" w:pos="8504"/>
            </w:tabs>
            <w:jc w:val="center"/>
            <w:rPr>
              <w:rFonts w:cstheme="minorHAnsi"/>
              <w:b/>
              <w:bCs/>
              <w:sz w:val="16"/>
              <w:szCs w:val="16"/>
            </w:rPr>
          </w:pPr>
          <w:r>
            <w:rPr>
              <w:rFonts w:cstheme="minorHAnsi"/>
              <w:b/>
              <w:bCs/>
              <w:sz w:val="16"/>
              <w:szCs w:val="16"/>
            </w:rPr>
            <w:t>01/04</w:t>
          </w:r>
          <w:r w:rsidR="00D95011" w:rsidRPr="00D95011">
            <w:rPr>
              <w:rFonts w:cstheme="minorHAnsi"/>
              <w:b/>
              <w:bCs/>
              <w:sz w:val="16"/>
              <w:szCs w:val="16"/>
            </w:rPr>
            <w:t>/2025</w:t>
          </w:r>
        </w:p>
      </w:tc>
      <w:tc>
        <w:tcPr>
          <w:tcW w:w="2408" w:type="dxa"/>
          <w:vAlign w:val="center"/>
        </w:tcPr>
        <w:p w14:paraId="3916F59F" w14:textId="2FC35B17" w:rsidR="00D95011" w:rsidRPr="00D95011" w:rsidRDefault="00D95011" w:rsidP="00D95011">
          <w:pPr>
            <w:pStyle w:val="Rodap"/>
            <w:tabs>
              <w:tab w:val="clear" w:pos="8504"/>
            </w:tabs>
            <w:jc w:val="right"/>
            <w:rPr>
              <w:rFonts w:cstheme="minorHAnsi"/>
              <w:b/>
              <w:bCs/>
              <w:sz w:val="16"/>
              <w:szCs w:val="16"/>
            </w:rPr>
          </w:pPr>
          <w:r w:rsidRPr="00D95011">
            <w:rPr>
              <w:rFonts w:cstheme="minorHAnsi"/>
              <w:b/>
              <w:bCs/>
              <w:sz w:val="16"/>
              <w:szCs w:val="16"/>
            </w:rPr>
            <w:t xml:space="preserve">Página </w:t>
          </w:r>
          <w:r w:rsidRPr="00D95011">
            <w:rPr>
              <w:rFonts w:cstheme="minorHAnsi"/>
              <w:b/>
              <w:bCs/>
              <w:sz w:val="16"/>
              <w:szCs w:val="16"/>
            </w:rPr>
            <w:fldChar w:fldCharType="begin"/>
          </w:r>
          <w:r w:rsidRPr="00D95011">
            <w:rPr>
              <w:rFonts w:cstheme="minorHAnsi"/>
              <w:b/>
              <w:bCs/>
              <w:sz w:val="16"/>
              <w:szCs w:val="16"/>
            </w:rPr>
            <w:instrText>PAGE  \* Arabic  \* MERGEFORMAT</w:instrText>
          </w:r>
          <w:r w:rsidRPr="00D95011">
            <w:rPr>
              <w:rFonts w:cstheme="minorHAnsi"/>
              <w:b/>
              <w:bCs/>
              <w:sz w:val="16"/>
              <w:szCs w:val="16"/>
            </w:rPr>
            <w:fldChar w:fldCharType="separate"/>
          </w:r>
          <w:r w:rsidRPr="00D95011">
            <w:rPr>
              <w:rFonts w:cstheme="minorHAnsi"/>
              <w:b/>
              <w:bCs/>
              <w:sz w:val="16"/>
              <w:szCs w:val="16"/>
            </w:rPr>
            <w:t>1</w:t>
          </w:r>
          <w:r w:rsidRPr="00D95011">
            <w:rPr>
              <w:rFonts w:cstheme="minorHAnsi"/>
              <w:b/>
              <w:bCs/>
              <w:sz w:val="16"/>
              <w:szCs w:val="16"/>
            </w:rPr>
            <w:fldChar w:fldCharType="end"/>
          </w:r>
          <w:r w:rsidRPr="00D95011">
            <w:rPr>
              <w:rFonts w:cstheme="minorHAnsi"/>
              <w:b/>
              <w:bCs/>
              <w:sz w:val="16"/>
              <w:szCs w:val="16"/>
            </w:rPr>
            <w:t xml:space="preserve"> de </w:t>
          </w:r>
          <w:r w:rsidRPr="00D95011">
            <w:rPr>
              <w:rFonts w:cstheme="minorHAnsi"/>
              <w:b/>
              <w:bCs/>
              <w:sz w:val="16"/>
              <w:szCs w:val="16"/>
            </w:rPr>
            <w:fldChar w:fldCharType="begin"/>
          </w:r>
          <w:r w:rsidRPr="00D95011">
            <w:rPr>
              <w:rFonts w:cstheme="minorHAnsi"/>
              <w:b/>
              <w:bCs/>
              <w:sz w:val="16"/>
              <w:szCs w:val="16"/>
            </w:rPr>
            <w:instrText>NUMPAGES  \* Arabic  \* MERGEFORMAT</w:instrText>
          </w:r>
          <w:r w:rsidRPr="00D95011">
            <w:rPr>
              <w:rFonts w:cstheme="minorHAnsi"/>
              <w:b/>
              <w:bCs/>
              <w:sz w:val="16"/>
              <w:szCs w:val="16"/>
            </w:rPr>
            <w:fldChar w:fldCharType="separate"/>
          </w:r>
          <w:r w:rsidRPr="00D95011">
            <w:rPr>
              <w:rFonts w:cstheme="minorHAnsi"/>
              <w:b/>
              <w:bCs/>
              <w:sz w:val="16"/>
              <w:szCs w:val="16"/>
            </w:rPr>
            <w:t>2</w:t>
          </w:r>
          <w:r w:rsidRPr="00D95011">
            <w:rPr>
              <w:rFonts w:cstheme="minorHAnsi"/>
              <w:b/>
              <w:bCs/>
              <w:sz w:val="16"/>
              <w:szCs w:val="16"/>
            </w:rPr>
            <w:fldChar w:fldCharType="end"/>
          </w:r>
        </w:p>
      </w:tc>
    </w:tr>
  </w:tbl>
  <w:p w14:paraId="165EFACF" w14:textId="77777777" w:rsidR="00D95011" w:rsidRDefault="00D95011" w:rsidP="00D95011">
    <w:pPr>
      <w:pStyle w:val="Rodap"/>
      <w:tabs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975B" w14:textId="77777777" w:rsidR="00D95011" w:rsidRDefault="00D95011" w:rsidP="00D95011">
      <w:pPr>
        <w:spacing w:after="0" w:line="240" w:lineRule="auto"/>
      </w:pPr>
      <w:r>
        <w:separator/>
      </w:r>
    </w:p>
  </w:footnote>
  <w:footnote w:type="continuationSeparator" w:id="0">
    <w:p w14:paraId="7BF81965" w14:textId="77777777" w:rsidR="00D95011" w:rsidRDefault="00D95011" w:rsidP="00D95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78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single" w:sz="18" w:space="0" w:color="auto"/>
      </w:tblBorders>
      <w:tblLook w:val="04A0" w:firstRow="1" w:lastRow="0" w:firstColumn="1" w:lastColumn="0" w:noHBand="0" w:noVBand="1"/>
    </w:tblPr>
    <w:tblGrid>
      <w:gridCol w:w="1985"/>
      <w:gridCol w:w="7797"/>
    </w:tblGrid>
    <w:tr w:rsidR="00D95011" w:rsidRPr="004F11BA" w14:paraId="7216049C" w14:textId="77777777" w:rsidTr="00D95011">
      <w:trPr>
        <w:trHeight w:val="1304"/>
      </w:trPr>
      <w:tc>
        <w:tcPr>
          <w:tcW w:w="1985" w:type="dxa"/>
          <w:tcBorders>
            <w:top w:val="nil"/>
            <w:bottom w:val="single" w:sz="12" w:space="0" w:color="1F4E79" w:themeColor="accent1" w:themeShade="80"/>
            <w:right w:val="single" w:sz="12" w:space="0" w:color="1F4E79" w:themeColor="accent1" w:themeShade="80"/>
          </w:tcBorders>
          <w:vAlign w:val="center"/>
        </w:tcPr>
        <w:p w14:paraId="4E01A3FA" w14:textId="77777777" w:rsidR="00D95011" w:rsidRPr="004F11BA" w:rsidRDefault="00D95011" w:rsidP="00D95011">
          <w:pPr>
            <w:ind w:left="-108" w:right="-105"/>
            <w:jc w:val="center"/>
            <w:rPr>
              <w:rFonts w:cstheme="minorHAnsi"/>
              <w:sz w:val="24"/>
              <w:szCs w:val="24"/>
            </w:rPr>
          </w:pPr>
          <w:r w:rsidRPr="004F11BA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35058746" wp14:editId="30235C20">
                <wp:extent cx="891540" cy="891540"/>
                <wp:effectExtent l="0" t="0" r="0" b="0"/>
                <wp:docPr id="1490778218" name="Imagem 1490778218" descr="C:\Users\jeferson.soares\Downloads\logo-pjerj-azu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jeferson.soares\Downloads\logo-pjerj-azu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tcBorders>
            <w:top w:val="nil"/>
            <w:left w:val="single" w:sz="12" w:space="0" w:color="1F4E79" w:themeColor="accent1" w:themeShade="80"/>
            <w:bottom w:val="single" w:sz="12" w:space="0" w:color="1F4E79" w:themeColor="accent1" w:themeShade="80"/>
          </w:tcBorders>
          <w:vAlign w:val="center"/>
        </w:tcPr>
        <w:p w14:paraId="2FFC7FCB" w14:textId="77777777" w:rsidR="00D95011" w:rsidRPr="004F11BA" w:rsidRDefault="00D95011" w:rsidP="00D95011">
          <w:pPr>
            <w:ind w:right="-108"/>
            <w:rPr>
              <w:rFonts w:cstheme="minorHAnsi"/>
              <w:color w:val="1F4E79" w:themeColor="accent1" w:themeShade="80"/>
              <w:sz w:val="24"/>
              <w:szCs w:val="24"/>
            </w:rPr>
          </w:pPr>
          <w:r w:rsidRPr="004F11BA">
            <w:rPr>
              <w:rFonts w:cstheme="minorHAnsi"/>
              <w:color w:val="1F4E79" w:themeColor="accent1" w:themeShade="80"/>
              <w:sz w:val="24"/>
              <w:szCs w:val="24"/>
            </w:rPr>
            <w:t xml:space="preserve">Poder Judiciário do Estado do Rio de Janeiro – </w:t>
          </w:r>
          <w:r w:rsidRPr="004F11BA">
            <w:rPr>
              <w:rFonts w:cstheme="minorHAnsi"/>
              <w:b/>
              <w:bCs/>
              <w:color w:val="1F4E79" w:themeColor="accent1" w:themeShade="80"/>
              <w:sz w:val="24"/>
              <w:szCs w:val="24"/>
            </w:rPr>
            <w:t>PJERJ</w:t>
          </w:r>
          <w:r w:rsidRPr="004F11BA">
            <w:rPr>
              <w:rFonts w:cstheme="minorHAnsi"/>
              <w:color w:val="1F4E79" w:themeColor="accent1" w:themeShade="80"/>
              <w:sz w:val="24"/>
              <w:szCs w:val="24"/>
            </w:rPr>
            <w:br/>
            <w:t xml:space="preserve">Secretaria-Geral de Governança, Inovação e Compliance – </w:t>
          </w:r>
          <w:r w:rsidRPr="004F11BA">
            <w:rPr>
              <w:rFonts w:cstheme="minorHAnsi"/>
              <w:b/>
              <w:bCs/>
              <w:color w:val="1F4E79" w:themeColor="accent1" w:themeShade="80"/>
              <w:sz w:val="24"/>
              <w:szCs w:val="24"/>
            </w:rPr>
            <w:t>SGGIC</w:t>
          </w:r>
        </w:p>
        <w:p w14:paraId="04BF5DA6" w14:textId="77777777" w:rsidR="00D95011" w:rsidRPr="004F11BA" w:rsidRDefault="00D95011" w:rsidP="00D95011">
          <w:pPr>
            <w:ind w:right="-108"/>
            <w:rPr>
              <w:rFonts w:cstheme="minorHAnsi"/>
              <w:color w:val="1F4E79" w:themeColor="accent1" w:themeShade="80"/>
              <w:sz w:val="24"/>
              <w:szCs w:val="24"/>
            </w:rPr>
          </w:pPr>
          <w:r w:rsidRPr="004F11BA">
            <w:rPr>
              <w:rFonts w:cstheme="minorHAnsi"/>
              <w:color w:val="1F4E79" w:themeColor="accent1" w:themeShade="80"/>
              <w:sz w:val="24"/>
              <w:szCs w:val="24"/>
            </w:rPr>
            <w:t xml:space="preserve">Departamento de Inovação e Desenvolvimento – </w:t>
          </w:r>
          <w:r w:rsidRPr="004F11BA">
            <w:rPr>
              <w:rFonts w:cstheme="minorHAnsi"/>
              <w:b/>
              <w:bCs/>
              <w:color w:val="1F4E79" w:themeColor="accent1" w:themeShade="80"/>
              <w:sz w:val="24"/>
              <w:szCs w:val="24"/>
            </w:rPr>
            <w:t>DEIND</w:t>
          </w:r>
        </w:p>
        <w:p w14:paraId="3C78670C" w14:textId="77777777" w:rsidR="00D95011" w:rsidRPr="004F11BA" w:rsidRDefault="00D95011" w:rsidP="00D95011">
          <w:pPr>
            <w:ind w:right="-108"/>
            <w:rPr>
              <w:rFonts w:cstheme="minorHAnsi"/>
              <w:color w:val="1F4E79" w:themeColor="accent1" w:themeShade="80"/>
              <w:sz w:val="24"/>
              <w:szCs w:val="24"/>
            </w:rPr>
          </w:pPr>
          <w:r w:rsidRPr="004F11BA">
            <w:rPr>
              <w:rFonts w:cstheme="minorHAnsi"/>
              <w:color w:val="1F4E79" w:themeColor="accent1" w:themeShade="80"/>
              <w:sz w:val="24"/>
              <w:szCs w:val="24"/>
            </w:rPr>
            <w:t xml:space="preserve">DIVISÃO DE DESENVOLVIMENTO ESTRATÉGICO - </w:t>
          </w:r>
          <w:r w:rsidRPr="004F11BA">
            <w:rPr>
              <w:rFonts w:cstheme="minorHAnsi"/>
              <w:b/>
              <w:color w:val="1F4E79" w:themeColor="accent1" w:themeShade="80"/>
              <w:sz w:val="24"/>
              <w:szCs w:val="24"/>
            </w:rPr>
            <w:t>DIDES</w:t>
          </w:r>
        </w:p>
      </w:tc>
    </w:tr>
    <w:tr w:rsidR="00D95011" w:rsidRPr="004F11BA" w14:paraId="29B23770" w14:textId="77777777" w:rsidTr="00D95011">
      <w:trPr>
        <w:trHeight w:val="300"/>
      </w:trPr>
      <w:tc>
        <w:tcPr>
          <w:tcW w:w="9782" w:type="dxa"/>
          <w:gridSpan w:val="2"/>
          <w:tcBorders>
            <w:top w:val="single" w:sz="12" w:space="0" w:color="1F4E79" w:themeColor="accent1" w:themeShade="80"/>
            <w:bottom w:val="single" w:sz="12" w:space="0" w:color="1F4E79" w:themeColor="accent1" w:themeShade="80"/>
          </w:tcBorders>
          <w:vAlign w:val="center"/>
        </w:tcPr>
        <w:p w14:paraId="51BBB8ED" w14:textId="3EF1AC87" w:rsidR="00D95011" w:rsidRPr="004F11BA" w:rsidRDefault="00D95011" w:rsidP="00D95011">
          <w:pPr>
            <w:ind w:right="-108"/>
            <w:jc w:val="center"/>
            <w:rPr>
              <w:rFonts w:cstheme="minorHAnsi"/>
              <w:b/>
              <w:bCs/>
              <w:color w:val="1F4E79" w:themeColor="accent1" w:themeShade="80"/>
              <w:sz w:val="24"/>
              <w:szCs w:val="24"/>
            </w:rPr>
          </w:pPr>
          <w:r w:rsidRPr="00D95011">
            <w:rPr>
              <w:rFonts w:cstheme="minorHAnsi"/>
              <w:b/>
              <w:bCs/>
              <w:color w:val="1F4E79" w:themeColor="accent1" w:themeShade="80"/>
              <w:sz w:val="24"/>
              <w:szCs w:val="24"/>
            </w:rPr>
            <w:t>CRIAR REGULAMENTO – SELO DE BOAS PRÁTICAS</w:t>
          </w:r>
        </w:p>
      </w:tc>
    </w:tr>
  </w:tbl>
  <w:p w14:paraId="16BD0B34" w14:textId="2DBE2E25" w:rsidR="00D95011" w:rsidRPr="00D95011" w:rsidRDefault="00D95011" w:rsidP="00D95011">
    <w:pPr>
      <w:pStyle w:val="Cabealho"/>
      <w:jc w:val="center"/>
      <w:rPr>
        <w:b/>
        <w:sz w:val="18"/>
        <w:szCs w:val="18"/>
      </w:rPr>
    </w:pPr>
    <w:r w:rsidRPr="00D95011">
      <w:rPr>
        <w:rFonts w:eastAsia="Calibri"/>
        <w:b/>
        <w:color w:val="C00000"/>
        <w:sz w:val="18"/>
        <w:szCs w:val="18"/>
      </w:rPr>
      <w:t xml:space="preserve">IMPORTANTE: sempre verifique no </w:t>
    </w:r>
    <w:r w:rsidRPr="00D95011">
      <w:rPr>
        <w:rFonts w:eastAsia="Calibri"/>
        <w:b/>
        <w:i/>
        <w:iCs/>
        <w:color w:val="C00000"/>
        <w:sz w:val="18"/>
        <w:szCs w:val="18"/>
      </w:rPr>
      <w:t>site</w:t>
    </w:r>
    <w:r w:rsidRPr="00D95011">
      <w:rPr>
        <w:rFonts w:eastAsia="Calibri"/>
        <w:b/>
        <w:color w:val="C00000"/>
        <w:sz w:val="18"/>
        <w:szCs w:val="18"/>
      </w:rPr>
      <w:t xml:space="preserve"> do TJRJ se a versão impressa do documento está atualizada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0637"/>
    <w:multiLevelType w:val="hybridMultilevel"/>
    <w:tmpl w:val="F5CC2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3323F"/>
    <w:multiLevelType w:val="hybridMultilevel"/>
    <w:tmpl w:val="D7EC27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882543">
    <w:abstractNumId w:val="1"/>
  </w:num>
  <w:num w:numId="2" w16cid:durableId="312180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7063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459"/>
    <w:rsid w:val="000130B6"/>
    <w:rsid w:val="00013116"/>
    <w:rsid w:val="00077DAB"/>
    <w:rsid w:val="00122EA8"/>
    <w:rsid w:val="001A5FBD"/>
    <w:rsid w:val="001B2AF4"/>
    <w:rsid w:val="001C45C9"/>
    <w:rsid w:val="00221849"/>
    <w:rsid w:val="00256351"/>
    <w:rsid w:val="002779D7"/>
    <w:rsid w:val="002E5D44"/>
    <w:rsid w:val="00351079"/>
    <w:rsid w:val="00396604"/>
    <w:rsid w:val="003D209F"/>
    <w:rsid w:val="003D2F67"/>
    <w:rsid w:val="003F775A"/>
    <w:rsid w:val="00400DD8"/>
    <w:rsid w:val="004205E7"/>
    <w:rsid w:val="0043744A"/>
    <w:rsid w:val="0049194C"/>
    <w:rsid w:val="004F2AF7"/>
    <w:rsid w:val="00505304"/>
    <w:rsid w:val="00537A02"/>
    <w:rsid w:val="00581F8B"/>
    <w:rsid w:val="005F2532"/>
    <w:rsid w:val="00675C1B"/>
    <w:rsid w:val="006C723D"/>
    <w:rsid w:val="00701062"/>
    <w:rsid w:val="00754ED6"/>
    <w:rsid w:val="007A6BE1"/>
    <w:rsid w:val="007D1FDF"/>
    <w:rsid w:val="007F51B0"/>
    <w:rsid w:val="00805459"/>
    <w:rsid w:val="0088240D"/>
    <w:rsid w:val="00912C53"/>
    <w:rsid w:val="00991909"/>
    <w:rsid w:val="009A4383"/>
    <w:rsid w:val="00A505D6"/>
    <w:rsid w:val="00A70EBE"/>
    <w:rsid w:val="00B800F8"/>
    <w:rsid w:val="00B8643C"/>
    <w:rsid w:val="00BB2602"/>
    <w:rsid w:val="00BB5989"/>
    <w:rsid w:val="00BD38BD"/>
    <w:rsid w:val="00C36A78"/>
    <w:rsid w:val="00C8676B"/>
    <w:rsid w:val="00CC6B0F"/>
    <w:rsid w:val="00CD0C8E"/>
    <w:rsid w:val="00CF06B0"/>
    <w:rsid w:val="00D05C63"/>
    <w:rsid w:val="00D95011"/>
    <w:rsid w:val="00DA697A"/>
    <w:rsid w:val="00E15936"/>
    <w:rsid w:val="00E415E9"/>
    <w:rsid w:val="00EE2C0E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741C03"/>
  <w15:chartTrackingRefBased/>
  <w15:docId w15:val="{3368D5E7-1261-4686-B9B6-9F11FE48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0545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A6BE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6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76B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C4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95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5011"/>
  </w:style>
  <w:style w:type="paragraph" w:styleId="Rodap">
    <w:name w:val="footer"/>
    <w:basedOn w:val="Normal"/>
    <w:link w:val="RodapChar"/>
    <w:uiPriority w:val="99"/>
    <w:unhideWhenUsed/>
    <w:rsid w:val="00D95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5011"/>
  </w:style>
  <w:style w:type="character" w:styleId="Nmerodelinha">
    <w:name w:val="line number"/>
    <w:basedOn w:val="Fontepargpadro"/>
    <w:uiPriority w:val="99"/>
    <w:semiHidden/>
    <w:unhideWhenUsed/>
    <w:rsid w:val="00D95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ind.dides@tjrj.jus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pla.sepal@tjrj.jus.b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DA4DBEA014BC4D8026121315E555C9" ma:contentTypeVersion="4" ma:contentTypeDescription="Crie um novo documento." ma:contentTypeScope="" ma:versionID="303189ffbaedc18a0675e133f7efd13a">
  <xsd:schema xmlns:xsd="http://www.w3.org/2001/XMLSchema" xmlns:xs="http://www.w3.org/2001/XMLSchema" xmlns:p="http://schemas.microsoft.com/office/2006/metadata/properties" xmlns:ns3="f3f7875b-dbe8-4442-924e-b81ef5028577" targetNamespace="http://schemas.microsoft.com/office/2006/metadata/properties" ma:root="true" ma:fieldsID="793bf8f7dbd6e6a3d3b652dc2a002b44" ns3:_="">
    <xsd:import namespace="f3f7875b-dbe8-4442-924e-b81ef50285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7875b-dbe8-4442-924e-b81ef5028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259034-DCB2-410D-817A-07D4FD4521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09CF62-9E0A-4764-9677-F59FCA5E8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7A13C9-3619-4FCD-8050-6765117A1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7875b-dbe8-4442-924e-b81ef5028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D2567F-7A5F-4460-9002-1E04066269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1338</Words>
  <Characters>7231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Alves Damasco</dc:creator>
  <cp:keywords/>
  <dc:description/>
  <cp:lastModifiedBy>Adriana Neimi</cp:lastModifiedBy>
  <cp:revision>5</cp:revision>
  <cp:lastPrinted>2024-03-25T18:35:00Z</cp:lastPrinted>
  <dcterms:created xsi:type="dcterms:W3CDTF">2025-02-27T16:06:00Z</dcterms:created>
  <dcterms:modified xsi:type="dcterms:W3CDTF">2025-03-31T18:54:00Z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0x010100F6DA4DBEA014BC4D8026121315E555C9</vt:lpwstr>
  </property>
</Properties>
</file>